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C54" w:rsidRPr="00646C54" w:rsidRDefault="00646C54" w:rsidP="00646C54">
      <w:pPr>
        <w:jc w:val="center"/>
        <w:rPr>
          <w:rFonts w:ascii="Calibri" w:hAnsi="Calibri"/>
          <w:b/>
          <w:i/>
          <w:sz w:val="40"/>
          <w:szCs w:val="40"/>
          <w:u w:val="single"/>
        </w:rPr>
      </w:pPr>
      <w:r w:rsidRPr="00646C54">
        <w:rPr>
          <w:rFonts w:ascii="Calibri" w:hAnsi="Calibri"/>
          <w:b/>
          <w:i/>
          <w:sz w:val="40"/>
          <w:szCs w:val="40"/>
          <w:u w:val="single"/>
        </w:rPr>
        <w:t>8 Non-Negotiable Components for Achievement for All</w:t>
      </w:r>
    </w:p>
    <w:p w:rsidR="00EB083E" w:rsidRPr="00646C54" w:rsidRDefault="00EB083E" w:rsidP="00646C54">
      <w:pPr>
        <w:jc w:val="center"/>
        <w:rPr>
          <w:rFonts w:asciiTheme="minorHAnsi" w:hAnsiTheme="minorHAnsi"/>
          <w:b/>
          <w:sz w:val="28"/>
          <w:szCs w:val="28"/>
        </w:rPr>
      </w:pPr>
    </w:p>
    <w:p w:rsidR="00646C54" w:rsidRDefault="00646C54" w:rsidP="00646C54">
      <w:pPr>
        <w:jc w:val="center"/>
        <w:rPr>
          <w:rFonts w:asciiTheme="minorHAnsi" w:hAnsiTheme="minorHAnsi"/>
          <w:b/>
          <w:sz w:val="32"/>
          <w:szCs w:val="32"/>
        </w:rPr>
      </w:pPr>
      <w:r w:rsidRPr="00646C54">
        <w:rPr>
          <w:rFonts w:asciiTheme="minorHAnsi" w:hAnsiTheme="minorHAnsi"/>
          <w:b/>
          <w:sz w:val="32"/>
          <w:szCs w:val="32"/>
        </w:rPr>
        <w:t>How are we doing?</w:t>
      </w:r>
    </w:p>
    <w:p w:rsidR="003A6DD6" w:rsidRPr="00EB6A72" w:rsidRDefault="003A6DD6" w:rsidP="003A6DD6">
      <w:pPr>
        <w:jc w:val="right"/>
        <w:rPr>
          <w:rFonts w:asciiTheme="minorHAnsi" w:hAnsiTheme="minorHAnsi"/>
          <w:sz w:val="32"/>
          <w:szCs w:val="32"/>
        </w:rPr>
      </w:pPr>
      <w:r w:rsidRPr="00EB6A72">
        <w:rPr>
          <w:rFonts w:asciiTheme="minorHAnsi" w:hAnsiTheme="minorHAnsi"/>
          <w:i/>
        </w:rPr>
        <w:t xml:space="preserve">Name of School: </w:t>
      </w:r>
      <w:r w:rsidRPr="00EB6A72">
        <w:rPr>
          <w:rFonts w:asciiTheme="minorHAnsi" w:hAnsiTheme="minorHAnsi"/>
          <w:sz w:val="32"/>
          <w:szCs w:val="32"/>
        </w:rPr>
        <w:t>_______________</w:t>
      </w:r>
    </w:p>
    <w:tbl>
      <w:tblPr>
        <w:tblStyle w:val="TableGrid"/>
        <w:tblW w:w="0" w:type="auto"/>
        <w:tblLook w:val="04A0"/>
      </w:tblPr>
      <w:tblGrid>
        <w:gridCol w:w="558"/>
        <w:gridCol w:w="9018"/>
      </w:tblGrid>
      <w:tr w:rsidR="00646C54" w:rsidTr="003A6DD6">
        <w:tc>
          <w:tcPr>
            <w:tcW w:w="9576" w:type="dxa"/>
            <w:gridSpan w:val="2"/>
            <w:tcBorders>
              <w:top w:val="nil"/>
              <w:left w:val="nil"/>
              <w:right w:val="nil"/>
            </w:tcBorders>
          </w:tcPr>
          <w:p w:rsidR="00646C54" w:rsidRPr="00646C54" w:rsidRDefault="00646C54" w:rsidP="00646C54">
            <w:pPr>
              <w:pStyle w:val="ListParagraph"/>
              <w:numPr>
                <w:ilvl w:val="0"/>
                <w:numId w:val="5"/>
              </w:numPr>
              <w:rPr>
                <w:rFonts w:asciiTheme="minorHAnsi" w:hAnsiTheme="minorHAnsi"/>
                <w:b/>
                <w:color w:val="FF0000"/>
                <w:sz w:val="36"/>
                <w:szCs w:val="36"/>
              </w:rPr>
            </w:pPr>
            <w:r w:rsidRPr="00646C54">
              <w:rPr>
                <w:rFonts w:ascii="Calibri" w:hAnsi="Calibri"/>
                <w:b/>
                <w:sz w:val="36"/>
                <w:szCs w:val="36"/>
              </w:rPr>
              <w:t>Ongoing Training and Professional Development</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646C54" w:rsidRPr="0011561F">
              <w:rPr>
                <w:rFonts w:ascii="Calibri" w:hAnsi="Calibri"/>
                <w:sz w:val="28"/>
                <w:szCs w:val="28"/>
              </w:rPr>
              <w:t>On- going training is provided for exploring, implementing and sustaining school RTI teams to set up effective systems to optimize outcomes for al</w:t>
            </w:r>
            <w:r w:rsidR="00646C54" w:rsidRPr="0011561F">
              <w:rPr>
                <w:rFonts w:asciiTheme="minorHAnsi" w:hAnsiTheme="minorHAnsi"/>
                <w:sz w:val="28"/>
                <w:szCs w:val="28"/>
              </w:rPr>
              <w:t>l</w:t>
            </w:r>
            <w:r w:rsidR="00646C54" w:rsidRPr="0011561F">
              <w:rPr>
                <w:rFonts w:ascii="Calibri" w:hAnsi="Calibri"/>
                <w:sz w:val="28"/>
                <w:szCs w:val="28"/>
              </w:rPr>
              <w:t xml:space="preserve"> students</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b.  </w:t>
            </w:r>
            <w:r w:rsidR="00646C54" w:rsidRPr="0011561F">
              <w:rPr>
                <w:rFonts w:ascii="Calibri" w:hAnsi="Calibri"/>
                <w:sz w:val="28"/>
                <w:szCs w:val="28"/>
              </w:rPr>
              <w:t>Teachers are trained to use benchmark, formative, summative and progress monitoring assessments</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c.  </w:t>
            </w:r>
            <w:r w:rsidR="00646C54" w:rsidRPr="0011561F">
              <w:rPr>
                <w:rFonts w:ascii="Calibri" w:hAnsi="Calibri"/>
                <w:sz w:val="28"/>
                <w:szCs w:val="28"/>
              </w:rPr>
              <w:t>School staff has access to on-going t</w:t>
            </w:r>
            <w:r w:rsidR="003A6DD6" w:rsidRPr="0011561F">
              <w:rPr>
                <w:rFonts w:asciiTheme="minorHAnsi" w:hAnsiTheme="minorHAnsi"/>
                <w:sz w:val="28"/>
                <w:szCs w:val="28"/>
              </w:rPr>
              <w:t xml:space="preserve">raining in evidenced based best </w:t>
            </w:r>
            <w:r w:rsidR="00646C54" w:rsidRPr="0011561F">
              <w:rPr>
                <w:rFonts w:ascii="Calibri" w:hAnsi="Calibri"/>
                <w:sz w:val="28"/>
                <w:szCs w:val="28"/>
              </w:rPr>
              <w:t>practice in core subject areas</w:t>
            </w:r>
          </w:p>
        </w:tc>
      </w:tr>
      <w:tr w:rsidR="00646C54" w:rsidRPr="003A6DD6" w:rsidTr="00646C54">
        <w:tc>
          <w:tcPr>
            <w:tcW w:w="9576" w:type="dxa"/>
            <w:gridSpan w:val="2"/>
            <w:tcBorders>
              <w:left w:val="nil"/>
              <w:right w:val="nil"/>
            </w:tcBorders>
          </w:tcPr>
          <w:p w:rsidR="003A6DD6" w:rsidRPr="003A6DD6" w:rsidRDefault="00646C54" w:rsidP="003A6DD6">
            <w:pPr>
              <w:pStyle w:val="ListParagraph"/>
              <w:numPr>
                <w:ilvl w:val="0"/>
                <w:numId w:val="5"/>
              </w:numPr>
              <w:rPr>
                <w:rFonts w:asciiTheme="minorHAnsi" w:hAnsiTheme="minorHAnsi"/>
                <w:b/>
                <w:sz w:val="36"/>
                <w:szCs w:val="36"/>
              </w:rPr>
            </w:pPr>
            <w:r w:rsidRPr="003A6DD6">
              <w:rPr>
                <w:rFonts w:ascii="Calibri" w:hAnsi="Calibri"/>
                <w:b/>
                <w:sz w:val="36"/>
                <w:szCs w:val="36"/>
              </w:rPr>
              <w:t>Strong Leadership</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3A6DD6" w:rsidRDefault="003A6DD6" w:rsidP="003A6DD6">
            <w:pPr>
              <w:rPr>
                <w:rFonts w:asciiTheme="minorHAnsi" w:hAnsiTheme="minorHAnsi"/>
                <w:sz w:val="28"/>
                <w:szCs w:val="28"/>
              </w:rPr>
            </w:pPr>
            <w:r>
              <w:rPr>
                <w:rFonts w:asciiTheme="minorHAnsi" w:hAnsiTheme="minorHAnsi"/>
                <w:sz w:val="28"/>
                <w:szCs w:val="28"/>
              </w:rPr>
              <w:t xml:space="preserve">      </w:t>
            </w:r>
            <w:r w:rsidRPr="003A6DD6">
              <w:rPr>
                <w:rFonts w:asciiTheme="minorHAnsi" w:hAnsiTheme="minorHAnsi"/>
                <w:sz w:val="28"/>
                <w:szCs w:val="28"/>
              </w:rPr>
              <w:t>a.</w:t>
            </w:r>
            <w:r>
              <w:rPr>
                <w:rFonts w:asciiTheme="minorHAnsi" w:hAnsiTheme="minorHAnsi"/>
                <w:sz w:val="28"/>
                <w:szCs w:val="28"/>
              </w:rPr>
              <w:t xml:space="preserve">  </w:t>
            </w:r>
            <w:r w:rsidR="00646C54" w:rsidRPr="003A6DD6">
              <w:rPr>
                <w:rFonts w:ascii="Calibri" w:hAnsi="Calibri"/>
                <w:sz w:val="28"/>
                <w:szCs w:val="28"/>
              </w:rPr>
              <w:t xml:space="preserve">School has an RTI Team established and conducts at least monthly </w:t>
            </w:r>
            <w:r>
              <w:rPr>
                <w:rFonts w:asciiTheme="minorHAnsi" w:hAnsiTheme="minorHAnsi"/>
                <w:sz w:val="28"/>
                <w:szCs w:val="28"/>
              </w:rPr>
              <w:t xml:space="preserve"> meetings         </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3A6DD6" w:rsidRDefault="0011561F" w:rsidP="003A6DD6">
            <w:pPr>
              <w:rPr>
                <w:rFonts w:asciiTheme="minorHAnsi" w:hAnsiTheme="minorHAnsi"/>
                <w:sz w:val="28"/>
                <w:szCs w:val="28"/>
              </w:rPr>
            </w:pPr>
            <w:r>
              <w:rPr>
                <w:rFonts w:asciiTheme="minorHAnsi" w:hAnsiTheme="minorHAnsi"/>
                <w:sz w:val="28"/>
                <w:szCs w:val="28"/>
              </w:rPr>
              <w:t xml:space="preserve">      b. </w:t>
            </w:r>
            <w:r w:rsidR="00646C54" w:rsidRPr="003A6DD6">
              <w:rPr>
                <w:rFonts w:ascii="Calibri" w:hAnsi="Calibri"/>
                <w:sz w:val="28"/>
                <w:szCs w:val="28"/>
              </w:rPr>
              <w:t>School has a 3-year vision or action plan and is working towards protocols and operational guidelines</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3A6DD6" w:rsidRDefault="0011561F" w:rsidP="0011561F">
            <w:pPr>
              <w:rPr>
                <w:rFonts w:asciiTheme="minorHAnsi" w:hAnsiTheme="minorHAnsi"/>
                <w:sz w:val="28"/>
                <w:szCs w:val="28"/>
              </w:rPr>
            </w:pPr>
            <w:r>
              <w:rPr>
                <w:rFonts w:asciiTheme="minorHAnsi" w:hAnsiTheme="minorHAnsi"/>
                <w:sz w:val="28"/>
                <w:szCs w:val="28"/>
              </w:rPr>
              <w:t xml:space="preserve">      c.  </w:t>
            </w:r>
            <w:r w:rsidR="00646C54" w:rsidRPr="003A6DD6">
              <w:rPr>
                <w:rFonts w:ascii="Calibri" w:hAnsi="Calibri"/>
                <w:sz w:val="28"/>
                <w:szCs w:val="28"/>
              </w:rPr>
              <w:t>School administrator is actively involved in RTI training and meetings</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d.  </w:t>
            </w:r>
            <w:r w:rsidR="00646C54" w:rsidRPr="0011561F">
              <w:rPr>
                <w:rFonts w:ascii="Calibri" w:hAnsi="Calibri"/>
                <w:sz w:val="28"/>
                <w:szCs w:val="28"/>
              </w:rPr>
              <w:t xml:space="preserve">RTI team has created effective operative procedures, written protocols (scheduling, staffing, resources) </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3A6DD6" w:rsidRDefault="0011561F" w:rsidP="0011561F">
            <w:pPr>
              <w:rPr>
                <w:rFonts w:asciiTheme="minorHAnsi" w:hAnsiTheme="minorHAnsi"/>
                <w:sz w:val="28"/>
                <w:szCs w:val="28"/>
              </w:rPr>
            </w:pPr>
            <w:r>
              <w:rPr>
                <w:rFonts w:asciiTheme="minorHAnsi" w:hAnsiTheme="minorHAnsi"/>
                <w:sz w:val="28"/>
                <w:szCs w:val="28"/>
              </w:rPr>
              <w:t xml:space="preserve">      e.  </w:t>
            </w:r>
            <w:r w:rsidR="00646C54" w:rsidRPr="003A6DD6">
              <w:rPr>
                <w:rFonts w:ascii="Calibri" w:hAnsi="Calibri"/>
                <w:sz w:val="28"/>
                <w:szCs w:val="28"/>
              </w:rPr>
              <w:t>RTI team meets and evaluates effectiveness of system at regularly scheduled intervals through data and observations</w:t>
            </w:r>
          </w:p>
        </w:tc>
      </w:tr>
      <w:tr w:rsidR="00646C54" w:rsidRPr="003A6DD6" w:rsidTr="00646C54">
        <w:tc>
          <w:tcPr>
            <w:tcW w:w="9576" w:type="dxa"/>
            <w:gridSpan w:val="2"/>
            <w:tcBorders>
              <w:left w:val="nil"/>
              <w:right w:val="nil"/>
            </w:tcBorders>
          </w:tcPr>
          <w:p w:rsidR="00646C54" w:rsidRPr="003A6DD6" w:rsidRDefault="00646C54" w:rsidP="003A6DD6">
            <w:pPr>
              <w:numPr>
                <w:ilvl w:val="0"/>
                <w:numId w:val="5"/>
              </w:numPr>
              <w:rPr>
                <w:rFonts w:asciiTheme="minorHAnsi" w:hAnsiTheme="minorHAnsi"/>
                <w:b/>
                <w:sz w:val="36"/>
                <w:szCs w:val="36"/>
              </w:rPr>
            </w:pPr>
            <w:r w:rsidRPr="003A6DD6">
              <w:rPr>
                <w:rFonts w:ascii="Calibri" w:hAnsi="Calibri"/>
                <w:b/>
                <w:sz w:val="36"/>
                <w:szCs w:val="36"/>
              </w:rPr>
              <w:t xml:space="preserve">On-going Student Assessment </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646C54" w:rsidRPr="0011561F">
              <w:rPr>
                <w:rFonts w:ascii="Calibri" w:hAnsi="Calibri"/>
                <w:sz w:val="28"/>
                <w:szCs w:val="28"/>
              </w:rPr>
              <w:t>Universal screening for reading and math occurs in fall, winter and spring for every student</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b.  </w:t>
            </w:r>
            <w:r w:rsidR="00646C54" w:rsidRPr="0011561F">
              <w:rPr>
                <w:rFonts w:ascii="Calibri" w:hAnsi="Calibri"/>
                <w:sz w:val="28"/>
                <w:szCs w:val="28"/>
              </w:rPr>
              <w:t>Diagnostic assessments are administered to students below grade level in reading and math</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c.  </w:t>
            </w:r>
            <w:r w:rsidR="00646C54" w:rsidRPr="0011561F">
              <w:rPr>
                <w:rFonts w:ascii="Calibri" w:hAnsi="Calibri"/>
                <w:sz w:val="28"/>
                <w:szCs w:val="28"/>
              </w:rPr>
              <w:t>Students who are below grade level (strategic or intensive) in reading or math are  progress monitored at least every other week</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d.  </w:t>
            </w:r>
            <w:r w:rsidR="00646C54" w:rsidRPr="0011561F">
              <w:rPr>
                <w:rFonts w:ascii="Calibri" w:hAnsi="Calibri"/>
                <w:sz w:val="28"/>
                <w:szCs w:val="28"/>
              </w:rPr>
              <w:t>School-wide assessment results are collected and shared among staff in a timely manner</w:t>
            </w:r>
          </w:p>
        </w:tc>
      </w:tr>
      <w:tr w:rsidR="0011561F" w:rsidRPr="0011561F" w:rsidTr="0011561F">
        <w:trPr>
          <w:trHeight w:val="1338"/>
        </w:trPr>
        <w:tc>
          <w:tcPr>
            <w:tcW w:w="9576" w:type="dxa"/>
            <w:gridSpan w:val="2"/>
            <w:tcBorders>
              <w:left w:val="nil"/>
              <w:bottom w:val="single" w:sz="4" w:space="0" w:color="auto"/>
              <w:right w:val="nil"/>
            </w:tcBorders>
          </w:tcPr>
          <w:p w:rsidR="0011561F" w:rsidRPr="0011561F" w:rsidRDefault="0011561F" w:rsidP="0011561F">
            <w:pPr>
              <w:ind w:left="720"/>
              <w:rPr>
                <w:rFonts w:asciiTheme="minorHAnsi" w:hAnsiTheme="minorHAnsi"/>
                <w:i/>
                <w:sz w:val="18"/>
                <w:szCs w:val="18"/>
              </w:rPr>
            </w:pPr>
          </w:p>
          <w:p w:rsidR="0011561F" w:rsidRPr="0011561F" w:rsidRDefault="0011561F" w:rsidP="0011561F">
            <w:pPr>
              <w:ind w:left="720"/>
              <w:rPr>
                <w:rFonts w:asciiTheme="minorHAnsi" w:hAnsiTheme="minorHAnsi"/>
                <w:i/>
                <w:sz w:val="18"/>
                <w:szCs w:val="18"/>
              </w:rPr>
            </w:pPr>
          </w:p>
          <w:p w:rsidR="0011561F" w:rsidRPr="0011561F" w:rsidRDefault="0011561F" w:rsidP="0011561F">
            <w:pPr>
              <w:ind w:left="720"/>
              <w:jc w:val="right"/>
              <w:rPr>
                <w:rFonts w:asciiTheme="minorHAnsi" w:hAnsiTheme="minorHAnsi"/>
                <w:i/>
                <w:sz w:val="18"/>
                <w:szCs w:val="18"/>
              </w:rPr>
            </w:pPr>
          </w:p>
          <w:p w:rsidR="0011561F" w:rsidRDefault="0011561F" w:rsidP="0011561F">
            <w:pPr>
              <w:ind w:left="720"/>
              <w:jc w:val="right"/>
              <w:rPr>
                <w:rFonts w:asciiTheme="minorHAnsi" w:hAnsiTheme="minorHAnsi"/>
                <w:i/>
                <w:sz w:val="18"/>
                <w:szCs w:val="18"/>
              </w:rPr>
            </w:pPr>
          </w:p>
          <w:p w:rsidR="0011561F" w:rsidRDefault="0011561F" w:rsidP="0011561F">
            <w:pPr>
              <w:ind w:left="720"/>
              <w:jc w:val="right"/>
              <w:rPr>
                <w:rFonts w:asciiTheme="minorHAnsi" w:hAnsiTheme="minorHAnsi"/>
                <w:i/>
                <w:sz w:val="18"/>
                <w:szCs w:val="18"/>
              </w:rPr>
            </w:pPr>
          </w:p>
          <w:p w:rsidR="0011561F" w:rsidRPr="0011561F" w:rsidRDefault="0011561F" w:rsidP="0011561F">
            <w:pPr>
              <w:ind w:left="720"/>
              <w:jc w:val="right"/>
              <w:rPr>
                <w:rFonts w:asciiTheme="minorHAnsi" w:hAnsiTheme="minorHAnsi"/>
                <w:i/>
                <w:sz w:val="18"/>
                <w:szCs w:val="18"/>
              </w:rPr>
            </w:pPr>
            <w:r w:rsidRPr="0011561F">
              <w:rPr>
                <w:rFonts w:asciiTheme="minorHAnsi" w:hAnsiTheme="minorHAnsi"/>
                <w:i/>
                <w:sz w:val="18"/>
                <w:szCs w:val="18"/>
              </w:rPr>
              <w:t>Achievement for All – Professional Learning, October 27, 2011</w:t>
            </w:r>
          </w:p>
        </w:tc>
      </w:tr>
      <w:tr w:rsidR="00646C54" w:rsidRPr="003A6DD6" w:rsidTr="0011561F">
        <w:tc>
          <w:tcPr>
            <w:tcW w:w="9576" w:type="dxa"/>
            <w:gridSpan w:val="2"/>
            <w:tcBorders>
              <w:top w:val="nil"/>
              <w:left w:val="nil"/>
              <w:right w:val="nil"/>
            </w:tcBorders>
          </w:tcPr>
          <w:p w:rsidR="00646C54" w:rsidRPr="003A6DD6" w:rsidRDefault="00646C54" w:rsidP="003A6DD6">
            <w:pPr>
              <w:numPr>
                <w:ilvl w:val="0"/>
                <w:numId w:val="5"/>
              </w:numPr>
              <w:rPr>
                <w:rFonts w:asciiTheme="minorHAnsi" w:hAnsiTheme="minorHAnsi"/>
                <w:b/>
                <w:sz w:val="36"/>
                <w:szCs w:val="36"/>
              </w:rPr>
            </w:pPr>
            <w:r w:rsidRPr="003A6DD6">
              <w:rPr>
                <w:rFonts w:ascii="Calibri" w:hAnsi="Calibri"/>
                <w:b/>
                <w:sz w:val="36"/>
                <w:szCs w:val="36"/>
              </w:rPr>
              <w:lastRenderedPageBreak/>
              <w:t>Evidenced Based Curriculum and Instruction</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646C54" w:rsidRPr="0011561F">
              <w:rPr>
                <w:rFonts w:ascii="Calibri" w:hAnsi="Calibri"/>
                <w:sz w:val="28"/>
                <w:szCs w:val="28"/>
              </w:rPr>
              <w:t>Researched-based core reading and math programs are in place and fidelity is decided according to what will best meet the needs of the students according to the data collected and teacher observations while aligning with state standards by school staff.</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b. </w:t>
            </w:r>
            <w:r w:rsidR="00646C54" w:rsidRPr="0011561F">
              <w:rPr>
                <w:rFonts w:ascii="Calibri" w:hAnsi="Calibri"/>
                <w:sz w:val="28"/>
                <w:szCs w:val="28"/>
              </w:rPr>
              <w:t>A teaching matrix is developed at each grade level that clearly defines topics and methods of delivery of instruction to ensure consistency among a grade level and smooth transitions of curriculum among grade levels.</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c. </w:t>
            </w:r>
            <w:r w:rsidR="00646C54" w:rsidRPr="0011561F">
              <w:rPr>
                <w:rFonts w:ascii="Calibri" w:hAnsi="Calibri"/>
                <w:sz w:val="28"/>
                <w:szCs w:val="28"/>
              </w:rPr>
              <w:t>The appropriate amount of time has been allocated to provide core and intervention instruction</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d. </w:t>
            </w:r>
            <w:r w:rsidR="00646C54" w:rsidRPr="0011561F">
              <w:rPr>
                <w:rFonts w:ascii="Calibri" w:hAnsi="Calibri"/>
                <w:sz w:val="28"/>
                <w:szCs w:val="28"/>
              </w:rPr>
              <w:t>Classroom teachers are providing a combination of whole group instruction and smaller flexible groups that focus on differentiated instruction to meet the needs of all students.</w:t>
            </w:r>
          </w:p>
        </w:tc>
      </w:tr>
      <w:tr w:rsidR="00646C54" w:rsidRPr="003A6DD6" w:rsidTr="00646C54">
        <w:tc>
          <w:tcPr>
            <w:tcW w:w="9576" w:type="dxa"/>
            <w:gridSpan w:val="2"/>
            <w:tcBorders>
              <w:left w:val="nil"/>
              <w:right w:val="nil"/>
            </w:tcBorders>
          </w:tcPr>
          <w:p w:rsidR="00646C54" w:rsidRPr="003A6DD6" w:rsidRDefault="00646C54" w:rsidP="003A6DD6">
            <w:pPr>
              <w:numPr>
                <w:ilvl w:val="0"/>
                <w:numId w:val="5"/>
              </w:numPr>
              <w:rPr>
                <w:rFonts w:asciiTheme="minorHAnsi" w:hAnsiTheme="minorHAnsi"/>
                <w:b/>
                <w:sz w:val="36"/>
                <w:szCs w:val="36"/>
              </w:rPr>
            </w:pPr>
            <w:r w:rsidRPr="003A6DD6">
              <w:rPr>
                <w:rFonts w:ascii="Calibri" w:hAnsi="Calibri"/>
                <w:b/>
                <w:sz w:val="36"/>
                <w:szCs w:val="36"/>
              </w:rPr>
              <w:t>Community and Family Involvement</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646C54" w:rsidRPr="0011561F">
              <w:rPr>
                <w:rFonts w:ascii="Calibri" w:hAnsi="Calibri"/>
                <w:sz w:val="28"/>
                <w:szCs w:val="28"/>
              </w:rPr>
              <w:t>School staff clearly explains RTI current practices occurring in the schools to parents and actively promotes community awareness of RTI.</w:t>
            </w:r>
          </w:p>
        </w:tc>
      </w:tr>
      <w:tr w:rsidR="00646C54" w:rsidRPr="003A6DD6" w:rsidTr="003A6DD6">
        <w:tc>
          <w:tcPr>
            <w:tcW w:w="9576" w:type="dxa"/>
            <w:gridSpan w:val="2"/>
            <w:tcBorders>
              <w:left w:val="nil"/>
              <w:right w:val="nil"/>
            </w:tcBorders>
          </w:tcPr>
          <w:p w:rsidR="00646C54" w:rsidRPr="003A6DD6" w:rsidRDefault="00646C54" w:rsidP="003A6DD6">
            <w:pPr>
              <w:numPr>
                <w:ilvl w:val="0"/>
                <w:numId w:val="5"/>
              </w:numPr>
              <w:rPr>
                <w:rFonts w:asciiTheme="minorHAnsi" w:hAnsiTheme="minorHAnsi"/>
                <w:b/>
                <w:sz w:val="36"/>
                <w:szCs w:val="36"/>
              </w:rPr>
            </w:pPr>
            <w:r w:rsidRPr="003A6DD6">
              <w:rPr>
                <w:rFonts w:ascii="Calibri" w:hAnsi="Calibri"/>
                <w:b/>
                <w:sz w:val="36"/>
                <w:szCs w:val="36"/>
              </w:rPr>
              <w:t>Collaborative Teaming</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3A6DD6" w:rsidRPr="0011561F">
              <w:rPr>
                <w:rFonts w:ascii="Calibri" w:hAnsi="Calibri"/>
                <w:sz w:val="28"/>
                <w:szCs w:val="28"/>
              </w:rPr>
              <w:t>Grade level data teams have developed yearly written data- based goals and grade level action plan to address these goals that utilize research-based strategies</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3A6DD6" w:rsidP="0011561F">
            <w:pPr>
              <w:rPr>
                <w:rFonts w:asciiTheme="minorHAnsi" w:hAnsiTheme="minorHAnsi"/>
                <w:sz w:val="28"/>
                <w:szCs w:val="28"/>
              </w:rPr>
            </w:pPr>
            <w:r w:rsidRPr="0011561F">
              <w:rPr>
                <w:rFonts w:ascii="Calibri" w:hAnsi="Calibri"/>
                <w:sz w:val="28"/>
                <w:szCs w:val="28"/>
              </w:rPr>
              <w:t>Grade level data meetings are occurring at each grade level at least every two weeks</w:t>
            </w:r>
          </w:p>
        </w:tc>
      </w:tr>
      <w:tr w:rsidR="003A6DD6" w:rsidRPr="003A6DD6" w:rsidTr="003A6DD6">
        <w:tc>
          <w:tcPr>
            <w:tcW w:w="9576" w:type="dxa"/>
            <w:gridSpan w:val="2"/>
            <w:tcBorders>
              <w:left w:val="nil"/>
              <w:right w:val="nil"/>
            </w:tcBorders>
          </w:tcPr>
          <w:p w:rsidR="003A6DD6" w:rsidRPr="003A6DD6" w:rsidRDefault="003A6DD6" w:rsidP="003A6DD6">
            <w:pPr>
              <w:numPr>
                <w:ilvl w:val="0"/>
                <w:numId w:val="5"/>
              </w:numPr>
              <w:rPr>
                <w:rFonts w:asciiTheme="minorHAnsi" w:hAnsiTheme="minorHAnsi"/>
                <w:b/>
                <w:sz w:val="36"/>
                <w:szCs w:val="36"/>
              </w:rPr>
            </w:pPr>
            <w:r w:rsidRPr="003A6DD6">
              <w:rPr>
                <w:rFonts w:ascii="Calibri" w:hAnsi="Calibri"/>
                <w:b/>
                <w:sz w:val="36"/>
                <w:szCs w:val="36"/>
              </w:rPr>
              <w:t>Data Based Decision Making</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3A6DD6" w:rsidRPr="0011561F">
              <w:rPr>
                <w:rFonts w:ascii="Calibri" w:hAnsi="Calibri"/>
                <w:sz w:val="28"/>
                <w:szCs w:val="28"/>
              </w:rPr>
              <w:t>A data collection and management system is being used by grade level and school-wide data teams to facilitate data-based decision making.</w:t>
            </w:r>
          </w:p>
        </w:tc>
      </w:tr>
      <w:tr w:rsidR="0011561F" w:rsidRPr="003A6DD6" w:rsidTr="00646C54">
        <w:tc>
          <w:tcPr>
            <w:tcW w:w="558" w:type="dxa"/>
          </w:tcPr>
          <w:p w:rsidR="0011561F" w:rsidRPr="003A6DD6" w:rsidRDefault="0011561F" w:rsidP="00646C54">
            <w:pPr>
              <w:rPr>
                <w:rFonts w:asciiTheme="minorHAnsi" w:hAnsiTheme="minorHAnsi"/>
                <w:b/>
                <w:color w:val="FF0000"/>
                <w:sz w:val="36"/>
                <w:szCs w:val="36"/>
              </w:rPr>
            </w:pPr>
          </w:p>
        </w:tc>
        <w:tc>
          <w:tcPr>
            <w:tcW w:w="9018" w:type="dxa"/>
          </w:tcPr>
          <w:p w:rsidR="0011561F" w:rsidRPr="0011561F" w:rsidRDefault="0011561F" w:rsidP="0011561F">
            <w:pPr>
              <w:rPr>
                <w:rFonts w:asciiTheme="minorHAnsi" w:hAnsiTheme="minorHAnsi"/>
                <w:sz w:val="28"/>
                <w:szCs w:val="28"/>
              </w:rPr>
            </w:pPr>
            <w:r>
              <w:rPr>
                <w:rFonts w:asciiTheme="minorHAnsi" w:hAnsiTheme="minorHAnsi"/>
                <w:sz w:val="28"/>
                <w:szCs w:val="28"/>
              </w:rPr>
              <w:t xml:space="preserve">      b. </w:t>
            </w:r>
            <w:r w:rsidRPr="0011561F">
              <w:rPr>
                <w:rFonts w:ascii="Calibri" w:hAnsi="Calibri"/>
                <w:sz w:val="28"/>
                <w:szCs w:val="28"/>
              </w:rPr>
              <w:t>Tier 1, Tier 2, &amp; Tier 3 interventions are appropriate to student need and data is utilized to determine intervention effectiveness across all Tiers</w:t>
            </w:r>
          </w:p>
        </w:tc>
      </w:tr>
      <w:tr w:rsidR="003A6DD6" w:rsidRPr="003A6DD6" w:rsidTr="003A6DD6">
        <w:tc>
          <w:tcPr>
            <w:tcW w:w="9576" w:type="dxa"/>
            <w:gridSpan w:val="2"/>
            <w:tcBorders>
              <w:left w:val="nil"/>
              <w:right w:val="nil"/>
            </w:tcBorders>
          </w:tcPr>
          <w:p w:rsidR="003A6DD6" w:rsidRPr="003A6DD6" w:rsidRDefault="003A6DD6" w:rsidP="003A6DD6">
            <w:pPr>
              <w:numPr>
                <w:ilvl w:val="0"/>
                <w:numId w:val="5"/>
              </w:numPr>
              <w:rPr>
                <w:rFonts w:asciiTheme="minorHAnsi" w:hAnsiTheme="minorHAnsi"/>
                <w:b/>
                <w:sz w:val="36"/>
                <w:szCs w:val="36"/>
              </w:rPr>
            </w:pPr>
            <w:r w:rsidRPr="003A6DD6">
              <w:rPr>
                <w:rFonts w:ascii="Calibri" w:hAnsi="Calibri"/>
                <w:b/>
                <w:sz w:val="36"/>
                <w:szCs w:val="36"/>
              </w:rPr>
              <w:t>Fidelity of Implementation</w:t>
            </w:r>
          </w:p>
        </w:tc>
      </w:tr>
      <w:tr w:rsidR="00646C54" w:rsidRPr="003A6DD6" w:rsidTr="00646C54">
        <w:tc>
          <w:tcPr>
            <w:tcW w:w="558" w:type="dxa"/>
          </w:tcPr>
          <w:p w:rsidR="00646C54" w:rsidRPr="003A6DD6" w:rsidRDefault="00646C54" w:rsidP="00646C54">
            <w:pPr>
              <w:rPr>
                <w:rFonts w:asciiTheme="minorHAnsi" w:hAnsiTheme="minorHAnsi"/>
                <w:b/>
                <w:color w:val="FF0000"/>
                <w:sz w:val="36"/>
                <w:szCs w:val="36"/>
              </w:rPr>
            </w:pPr>
          </w:p>
        </w:tc>
        <w:tc>
          <w:tcPr>
            <w:tcW w:w="9018" w:type="dxa"/>
          </w:tcPr>
          <w:p w:rsidR="00646C54" w:rsidRPr="0011561F" w:rsidRDefault="0011561F" w:rsidP="0011561F">
            <w:pPr>
              <w:rPr>
                <w:rFonts w:asciiTheme="minorHAnsi" w:hAnsiTheme="minorHAnsi"/>
                <w:sz w:val="28"/>
                <w:szCs w:val="28"/>
              </w:rPr>
            </w:pPr>
            <w:r>
              <w:rPr>
                <w:rFonts w:asciiTheme="minorHAnsi" w:hAnsiTheme="minorHAnsi"/>
                <w:sz w:val="28"/>
                <w:szCs w:val="28"/>
              </w:rPr>
              <w:t xml:space="preserve">      a. </w:t>
            </w:r>
            <w:r w:rsidR="003A6DD6" w:rsidRPr="0011561F">
              <w:rPr>
                <w:rFonts w:ascii="Calibri" w:hAnsi="Calibri"/>
                <w:sz w:val="28"/>
                <w:szCs w:val="28"/>
              </w:rPr>
              <w:t>Frequent fidelity checks randomly occur in all settings where reading and math instruction take place within a school</w:t>
            </w:r>
          </w:p>
        </w:tc>
      </w:tr>
      <w:tr w:rsidR="0011561F" w:rsidRPr="003A6DD6" w:rsidTr="0011561F">
        <w:tc>
          <w:tcPr>
            <w:tcW w:w="9576" w:type="dxa"/>
            <w:gridSpan w:val="2"/>
            <w:tcBorders>
              <w:left w:val="nil"/>
              <w:right w:val="nil"/>
            </w:tcBorders>
          </w:tcPr>
          <w:p w:rsidR="0011561F" w:rsidRDefault="0011561F" w:rsidP="00646C54">
            <w:pPr>
              <w:rPr>
                <w:rFonts w:asciiTheme="minorHAnsi" w:hAnsiTheme="minorHAnsi"/>
                <w:b/>
                <w:color w:val="FF0000"/>
                <w:sz w:val="36"/>
                <w:szCs w:val="36"/>
              </w:rPr>
            </w:pPr>
          </w:p>
          <w:p w:rsidR="0011561F" w:rsidRDefault="0011561F" w:rsidP="00646C54">
            <w:pPr>
              <w:rPr>
                <w:rFonts w:asciiTheme="minorHAnsi" w:hAnsiTheme="minorHAnsi"/>
                <w:b/>
                <w:color w:val="FF0000"/>
                <w:sz w:val="36"/>
                <w:szCs w:val="36"/>
              </w:rPr>
            </w:pPr>
          </w:p>
          <w:p w:rsidR="0011561F" w:rsidRPr="0011561F" w:rsidRDefault="0011561F" w:rsidP="0011561F">
            <w:pPr>
              <w:jc w:val="right"/>
              <w:rPr>
                <w:rFonts w:asciiTheme="minorHAnsi" w:hAnsiTheme="minorHAnsi"/>
                <w:b/>
                <w:color w:val="FF0000"/>
                <w:sz w:val="18"/>
                <w:szCs w:val="18"/>
              </w:rPr>
            </w:pPr>
          </w:p>
          <w:p w:rsidR="0011561F" w:rsidRDefault="0011561F" w:rsidP="0011561F">
            <w:pPr>
              <w:jc w:val="right"/>
              <w:rPr>
                <w:rFonts w:asciiTheme="minorHAnsi" w:hAnsiTheme="minorHAnsi"/>
                <w:sz w:val="28"/>
                <w:szCs w:val="28"/>
              </w:rPr>
            </w:pPr>
            <w:r w:rsidRPr="0011561F">
              <w:rPr>
                <w:rFonts w:asciiTheme="minorHAnsi" w:hAnsiTheme="minorHAnsi"/>
                <w:i/>
                <w:sz w:val="18"/>
                <w:szCs w:val="18"/>
              </w:rPr>
              <w:t>Achievement for All – Professional Learning, October 27, 2011</w:t>
            </w:r>
          </w:p>
        </w:tc>
      </w:tr>
    </w:tbl>
    <w:p w:rsidR="00646C54" w:rsidRPr="003A6DD6" w:rsidRDefault="00646C54" w:rsidP="00646C54">
      <w:pPr>
        <w:rPr>
          <w:rFonts w:asciiTheme="minorHAnsi" w:hAnsiTheme="minorHAnsi"/>
          <w:b/>
          <w:i/>
          <w:color w:val="FF0000"/>
          <w:sz w:val="28"/>
          <w:szCs w:val="28"/>
        </w:rPr>
      </w:pPr>
    </w:p>
    <w:sectPr w:rsidR="00646C54" w:rsidRPr="003A6DD6" w:rsidSect="00EB08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F4883"/>
    <w:multiLevelType w:val="hybridMultilevel"/>
    <w:tmpl w:val="3934F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90045F2"/>
    <w:multiLevelType w:val="hybridMultilevel"/>
    <w:tmpl w:val="48DA531E"/>
    <w:lvl w:ilvl="0" w:tplc="0409000F">
      <w:start w:val="1"/>
      <w:numFmt w:val="decimal"/>
      <w:lvlText w:val="%1."/>
      <w:lvlJc w:val="left"/>
      <w:pPr>
        <w:ind w:left="720" w:hanging="360"/>
      </w:pPr>
      <w:rPr>
        <w:rFonts w:ascii="Times New Roman" w:hAnsi="Times New Roman"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00568A"/>
    <w:multiLevelType w:val="hybridMultilevel"/>
    <w:tmpl w:val="AC361DC6"/>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302C17"/>
    <w:multiLevelType w:val="hybridMultilevel"/>
    <w:tmpl w:val="5D54CAF8"/>
    <w:lvl w:ilvl="0" w:tplc="6CDEFA64">
      <w:start w:val="1"/>
      <w:numFmt w:val="low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4252B0"/>
    <w:multiLevelType w:val="hybridMultilevel"/>
    <w:tmpl w:val="B5F89AD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F2F62FA"/>
    <w:multiLevelType w:val="hybridMultilevel"/>
    <w:tmpl w:val="0484B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572430"/>
    <w:multiLevelType w:val="hybridMultilevel"/>
    <w:tmpl w:val="8A72D02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6C54"/>
    <w:rsid w:val="000D5895"/>
    <w:rsid w:val="0011561F"/>
    <w:rsid w:val="003A6DD6"/>
    <w:rsid w:val="004B539B"/>
    <w:rsid w:val="00534B19"/>
    <w:rsid w:val="00646C54"/>
    <w:rsid w:val="006A3CBA"/>
    <w:rsid w:val="00B45AC5"/>
    <w:rsid w:val="00C1700D"/>
    <w:rsid w:val="00C40799"/>
    <w:rsid w:val="00C55343"/>
    <w:rsid w:val="00CD5CFB"/>
    <w:rsid w:val="00D61703"/>
    <w:rsid w:val="00DE3331"/>
    <w:rsid w:val="00E140F8"/>
    <w:rsid w:val="00EB083E"/>
    <w:rsid w:val="00EB6A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C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C54"/>
    <w:pPr>
      <w:ind w:left="720"/>
      <w:contextualSpacing/>
    </w:pPr>
  </w:style>
  <w:style w:type="table" w:styleId="TableGrid">
    <w:name w:val="Table Grid"/>
    <w:basedOn w:val="TableNormal"/>
    <w:uiPriority w:val="59"/>
    <w:rsid w:val="00646C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9F4318-F5AB-410A-A131-F746A35A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2977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salindburg</dc:creator>
  <cp:keywords/>
  <dc:description/>
  <cp:lastModifiedBy>cewen</cp:lastModifiedBy>
  <cp:revision>2</cp:revision>
  <cp:lastPrinted>2011-10-18T19:49:00Z</cp:lastPrinted>
  <dcterms:created xsi:type="dcterms:W3CDTF">2011-11-08T16:02:00Z</dcterms:created>
  <dcterms:modified xsi:type="dcterms:W3CDTF">2011-11-08T16:02:00Z</dcterms:modified>
</cp:coreProperties>
</file>